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ascii="MS UI Gothic"/>
          <w:b/>
          <w:sz w:val="20"/>
        </w:rPr>
      </w:pPr>
    </w:p>
    <w:p>
      <w:pPr>
        <w:pStyle w:val="4"/>
        <w:rPr>
          <w:rFonts w:ascii="MS UI Gothic"/>
          <w:b/>
          <w:sz w:val="20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933450</wp:posOffset>
                </wp:positionH>
                <wp:positionV relativeFrom="page">
                  <wp:posOffset>1661160</wp:posOffset>
                </wp:positionV>
                <wp:extent cx="5993765" cy="17780"/>
                <wp:effectExtent l="0" t="4445" r="6985" b="6350"/>
                <wp:wrapNone/>
                <wp:docPr id="2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93765" cy="177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flip:y;margin-left:73.5pt;margin-top:130.8pt;height:1.4pt;width:471.95pt;mso-position-horizontal-relative:page;mso-position-vertical-relative:page;z-index:251658240;mso-width-relative:page;mso-height-relative:page;" filled="f" stroked="t" coordsize="21600,21600" o:gfxdata="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UJDBXtgAAAAMAQAADwAAAAAA&#10;AAABACAAAAAiAAAAZHJzL2Rvd25yZXYueG1sUEsBAhQAFAAAAAgAh07iQEjKKOHaAQAAmwMAAA4A&#10;AAAAAAAAAQAgAAAAJwEAAGRycy9lMm9Eb2MueG1sUEsFBgAAAAAGAAYAWQEAAHM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4"/>
        <w:rPr>
          <w:rFonts w:ascii="MS UI Gothic"/>
          <w:b/>
          <w:sz w:val="20"/>
        </w:rPr>
      </w:pPr>
    </w:p>
    <w:p>
      <w:pPr>
        <w:spacing w:before="1"/>
        <w:ind w:left="403" w:right="0" w:firstLine="0"/>
        <w:jc w:val="left"/>
        <w:rPr>
          <w:rFonts w:hint="eastAsia" w:ascii="宋体" w:hAnsi="宋体" w:eastAsia="宋体" w:cs="宋体"/>
          <w:sz w:val="21"/>
        </w:rPr>
      </w:pPr>
    </w:p>
    <w:p>
      <w:pPr>
        <w:jc w:val="center"/>
        <w:rPr>
          <w:rFonts w:hint="eastAsia" w:ascii="微软雅黑" w:hAnsi="微软雅黑" w:eastAsia="微软雅黑" w:cs="微软雅黑"/>
          <w:b/>
          <w:bCs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30"/>
          <w:szCs w:val="30"/>
          <w:lang w:val="en-US" w:eastAsia="zh-CN"/>
        </w:rPr>
        <w:t xml:space="preserve">  丙烯葡聚糖凝胶S-200</w:t>
      </w:r>
      <w:r>
        <w:rPr>
          <w:rFonts w:hint="eastAsia" w:ascii="微软雅黑" w:hAnsi="微软雅黑" w:eastAsia="微软雅黑" w:cs="微软雅黑"/>
          <w:b/>
          <w:bCs/>
          <w:sz w:val="30"/>
          <w:szCs w:val="30"/>
          <w:lang w:val="en-US" w:eastAsia="zh-CN"/>
        </w:rPr>
        <w:t>说明书</w:t>
      </w:r>
    </w:p>
    <w:p>
      <w:pPr>
        <w:spacing w:beforeLines="0" w:after="75" w:afterLines="0" w:line="360" w:lineRule="auto"/>
        <w:ind w:right="225"/>
        <w:jc w:val="left"/>
        <w:rPr>
          <w:rFonts w:hint="eastAsia" w:ascii="微软雅黑" w:hAnsi="微软雅黑" w:eastAsia="微软雅黑" w:cs="微软雅黑"/>
          <w:sz w:val="21"/>
          <w:szCs w:val="21"/>
          <w:lang w:val="en-US" w:eastAsia="zh-CN" w:bidi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产品编号：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 w:bidi="zh-CN"/>
        </w:rPr>
        <w:t>AS52145</w:t>
      </w: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 w:firstLine="420" w:firstLineChars="200"/>
        <w:jc w:val="both"/>
        <w:rPr>
          <w:rFonts w:hint="default" w:ascii="微软雅黑" w:hAnsi="微软雅黑" w:eastAsia="微软雅黑" w:cs="微软雅黑"/>
          <w:sz w:val="21"/>
          <w:szCs w:val="21"/>
          <w:lang w:val="en-US" w:eastAsia="zh-CN" w:bidi="zh-CN"/>
        </w:rPr>
      </w:pPr>
      <w:r>
        <w:rPr>
          <w:rFonts w:hint="default" w:ascii="微软雅黑" w:hAnsi="微软雅黑" w:eastAsia="微软雅黑" w:cs="微软雅黑"/>
          <w:sz w:val="21"/>
          <w:szCs w:val="21"/>
          <w:lang w:val="en-US" w:eastAsia="zh-CN" w:bidi="zh-CN"/>
        </w:rPr>
        <w:t>丙烯葡聚糖凝胶系列填料是烯丙基葡聚糖和 N，N'-亚甲基双丙烯酰胺的交联共聚物，平均粒径为 50μm，同时增加了基体的刚性，确保快速流动特性和高分辨率。</w:t>
      </w: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 w:firstLine="420" w:firstLineChars="200"/>
        <w:jc w:val="both"/>
        <w:rPr>
          <w:rFonts w:hint="default" w:ascii="微软雅黑" w:hAnsi="微软雅黑" w:eastAsia="微软雅黑" w:cs="微软雅黑"/>
          <w:sz w:val="21"/>
          <w:szCs w:val="21"/>
          <w:lang w:val="en-US" w:eastAsia="zh-CN" w:bidi="zh-CN"/>
        </w:rPr>
      </w:pPr>
    </w:p>
    <w:p>
      <w:pPr>
        <w:pStyle w:val="2"/>
        <w:numPr>
          <w:numId w:val="0"/>
        </w:numPr>
        <w:tabs>
          <w:tab w:val="left" w:pos="1145"/>
        </w:tabs>
        <w:spacing w:before="78" w:after="0" w:line="240" w:lineRule="auto"/>
        <w:ind w:right="0" w:rightChars="0"/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 w:bidi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 w:bidi="zh-CN"/>
        </w:rPr>
        <w:t>1、理化指标</w:t>
      </w:r>
    </w:p>
    <w:tbl>
      <w:tblPr>
        <w:tblStyle w:val="8"/>
        <w:tblpPr w:leftFromText="180" w:rightFromText="180" w:vertAnchor="text" w:horzAnchor="page" w:tblpX="1986" w:tblpY="186"/>
        <w:tblOverlap w:val="never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1"/>
        <w:gridCol w:w="1868"/>
        <w:gridCol w:w="1035"/>
        <w:gridCol w:w="1458"/>
        <w:gridCol w:w="1066"/>
        <w:gridCol w:w="172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381" w:type="dxa"/>
          </w:tcPr>
          <w:p>
            <w:pPr>
              <w:pStyle w:val="15"/>
              <w:spacing w:before="2" w:line="368" w:lineRule="exact"/>
              <w:ind w:left="86" w:right="86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 w:bidi="zh-CN"/>
              </w:rPr>
              <w:t>产品名称</w:t>
            </w:r>
          </w:p>
        </w:tc>
        <w:tc>
          <w:tcPr>
            <w:tcW w:w="1868" w:type="dxa"/>
          </w:tcPr>
          <w:p>
            <w:pPr>
              <w:pStyle w:val="15"/>
              <w:spacing w:before="2" w:line="368" w:lineRule="exact"/>
              <w:ind w:left="81" w:right="36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 w:bidi="zh-CN"/>
              </w:rPr>
              <w:t>分离范围（球蛋白）</w:t>
            </w:r>
          </w:p>
        </w:tc>
        <w:tc>
          <w:tcPr>
            <w:tcW w:w="1035" w:type="dxa"/>
          </w:tcPr>
          <w:p>
            <w:pPr>
              <w:pStyle w:val="15"/>
              <w:spacing w:before="2" w:line="368" w:lineRule="exact"/>
              <w:ind w:left="138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 w:bidi="zh-CN"/>
              </w:rPr>
              <w:t>平均粒径</w:t>
            </w:r>
          </w:p>
        </w:tc>
        <w:tc>
          <w:tcPr>
            <w:tcW w:w="1458" w:type="dxa"/>
          </w:tcPr>
          <w:p>
            <w:pPr>
              <w:pStyle w:val="15"/>
              <w:spacing w:before="2" w:line="368" w:lineRule="exact"/>
              <w:ind w:left="146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 w:bidi="zh-CN"/>
              </w:rPr>
              <w:t>pH 适用范围</w:t>
            </w:r>
          </w:p>
        </w:tc>
        <w:tc>
          <w:tcPr>
            <w:tcW w:w="1066" w:type="dxa"/>
          </w:tcPr>
          <w:p>
            <w:pPr>
              <w:pStyle w:val="15"/>
              <w:spacing w:before="2" w:line="368" w:lineRule="exact"/>
              <w:ind w:left="312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 w:bidi="zh-CN"/>
              </w:rPr>
              <w:t>耐压</w:t>
            </w:r>
          </w:p>
        </w:tc>
        <w:tc>
          <w:tcPr>
            <w:tcW w:w="1723" w:type="dxa"/>
          </w:tcPr>
          <w:p>
            <w:pPr>
              <w:pStyle w:val="15"/>
              <w:spacing w:before="2" w:line="368" w:lineRule="exact"/>
              <w:ind w:left="328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 w:bidi="zh-CN"/>
              </w:rPr>
              <w:t>化学稳定性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381" w:type="dxa"/>
          </w:tcPr>
          <w:p>
            <w:pPr>
              <w:pStyle w:val="15"/>
              <w:spacing w:before="67"/>
              <w:ind w:left="71" w:right="107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 w:bidi="zh-CN"/>
              </w:rPr>
              <w:t>S-100 HR</w:t>
            </w:r>
          </w:p>
        </w:tc>
        <w:tc>
          <w:tcPr>
            <w:tcW w:w="1868" w:type="dxa"/>
          </w:tcPr>
          <w:p>
            <w:pPr>
              <w:pStyle w:val="15"/>
              <w:spacing w:before="67"/>
              <w:ind w:left="43" w:right="36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 w:bidi="zh-CN"/>
              </w:rPr>
              <w:t>1 × 10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superscript"/>
                <w:lang w:val="en-US" w:eastAsia="zh-CN" w:bidi="zh-CN"/>
              </w:rPr>
              <w:t>3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 w:bidi="zh-CN"/>
              </w:rPr>
              <w:t>-1 × 10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superscript"/>
                <w:lang w:val="en-US" w:eastAsia="zh-CN" w:bidi="zh-CN"/>
              </w:rPr>
              <w:t>5</w:t>
            </w:r>
          </w:p>
        </w:tc>
        <w:tc>
          <w:tcPr>
            <w:tcW w:w="1035" w:type="dxa"/>
            <w:vMerge w:val="restart"/>
          </w:tcPr>
          <w:p>
            <w:pPr>
              <w:pStyle w:val="15"/>
              <w:ind w:left="0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 w:bidi="zh-CN"/>
              </w:rPr>
            </w:pPr>
          </w:p>
          <w:p>
            <w:pPr>
              <w:pStyle w:val="15"/>
              <w:spacing w:before="11"/>
              <w:ind w:left="0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 w:bidi="zh-CN"/>
              </w:rPr>
            </w:pPr>
          </w:p>
          <w:p>
            <w:pPr>
              <w:pStyle w:val="15"/>
              <w:ind w:left="322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 w:bidi="zh-CN"/>
              </w:rPr>
              <w:t>50um</w:t>
            </w:r>
          </w:p>
        </w:tc>
        <w:tc>
          <w:tcPr>
            <w:tcW w:w="1458" w:type="dxa"/>
            <w:vMerge w:val="restart"/>
          </w:tcPr>
          <w:p>
            <w:pPr>
              <w:pStyle w:val="15"/>
              <w:spacing w:before="10"/>
              <w:ind w:left="0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 w:bidi="zh-CN"/>
              </w:rPr>
            </w:pPr>
          </w:p>
          <w:p>
            <w:pPr>
              <w:pStyle w:val="15"/>
              <w:spacing w:line="374" w:lineRule="exact"/>
              <w:ind w:left="169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 w:bidi="zh-CN"/>
              </w:rPr>
              <w:t>3-11(长时间)</w:t>
            </w:r>
          </w:p>
          <w:p>
            <w:pPr>
              <w:pStyle w:val="15"/>
              <w:spacing w:line="374" w:lineRule="exact"/>
              <w:ind w:left="146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 w:bidi="zh-CN"/>
              </w:rPr>
              <w:t>2-13(短时间)</w:t>
            </w:r>
          </w:p>
        </w:tc>
        <w:tc>
          <w:tcPr>
            <w:tcW w:w="1066" w:type="dxa"/>
            <w:vMerge w:val="restart"/>
          </w:tcPr>
          <w:p>
            <w:pPr>
              <w:pStyle w:val="15"/>
              <w:ind w:left="0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 w:bidi="zh-CN"/>
              </w:rPr>
            </w:pPr>
          </w:p>
          <w:p>
            <w:pPr>
              <w:pStyle w:val="15"/>
              <w:spacing w:before="11"/>
              <w:ind w:left="0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 w:bidi="zh-CN"/>
              </w:rPr>
            </w:pPr>
          </w:p>
          <w:p>
            <w:pPr>
              <w:pStyle w:val="15"/>
              <w:ind w:left="120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 w:bidi="zh-CN"/>
              </w:rPr>
              <w:t>0.15 MPa</w:t>
            </w:r>
          </w:p>
        </w:tc>
        <w:tc>
          <w:tcPr>
            <w:tcW w:w="1723" w:type="dxa"/>
            <w:vMerge w:val="restart"/>
          </w:tcPr>
          <w:p>
            <w:pPr>
              <w:pStyle w:val="15"/>
              <w:spacing w:before="2"/>
              <w:ind w:left="0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 w:bidi="zh-CN"/>
              </w:rPr>
            </w:pPr>
          </w:p>
          <w:p>
            <w:pPr>
              <w:pStyle w:val="15"/>
              <w:spacing w:line="223" w:lineRule="auto"/>
              <w:ind w:left="128" w:right="143" w:firstLine="88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 w:bidi="zh-CN"/>
              </w:rPr>
              <w:t>一般常用缓冲液，浓度低于0.15M 的弱酸碱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</w:trPr>
        <w:tc>
          <w:tcPr>
            <w:tcW w:w="1381" w:type="dxa"/>
          </w:tcPr>
          <w:p>
            <w:pPr>
              <w:pStyle w:val="15"/>
              <w:spacing w:before="66"/>
              <w:ind w:left="71" w:right="107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 w:bidi="zh-CN"/>
              </w:rPr>
              <w:t>S-200 HR</w:t>
            </w:r>
          </w:p>
        </w:tc>
        <w:tc>
          <w:tcPr>
            <w:tcW w:w="1868" w:type="dxa"/>
          </w:tcPr>
          <w:p>
            <w:pPr>
              <w:pStyle w:val="15"/>
              <w:spacing w:before="66"/>
              <w:ind w:left="43" w:right="36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 w:bidi="zh-CN"/>
              </w:rPr>
              <w:t>5 × 10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superscript"/>
                <w:lang w:val="en-US" w:eastAsia="zh-CN" w:bidi="zh-CN"/>
              </w:rPr>
              <w:t>3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 w:bidi="zh-CN"/>
              </w:rPr>
              <w:t>-2.5 × 10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superscript"/>
                <w:lang w:val="en-US" w:eastAsia="zh-CN" w:bidi="zh-CN"/>
              </w:rPr>
              <w:t>5</w:t>
            </w:r>
          </w:p>
        </w:tc>
        <w:tc>
          <w:tcPr>
            <w:tcW w:w="1035" w:type="dxa"/>
            <w:vMerge w:val="continue"/>
            <w:tcBorders>
              <w:top w:val="nil"/>
            </w:tcBorders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 w:bidi="zh-CN"/>
              </w:rPr>
            </w:pPr>
          </w:p>
        </w:tc>
        <w:tc>
          <w:tcPr>
            <w:tcW w:w="1458" w:type="dxa"/>
            <w:vMerge w:val="continue"/>
            <w:tcBorders>
              <w:top w:val="nil"/>
            </w:tcBorders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 w:bidi="zh-CN"/>
              </w:rPr>
            </w:pPr>
          </w:p>
        </w:tc>
        <w:tc>
          <w:tcPr>
            <w:tcW w:w="1066" w:type="dxa"/>
            <w:vMerge w:val="continue"/>
            <w:tcBorders>
              <w:top w:val="nil"/>
            </w:tcBorders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 w:bidi="zh-CN"/>
              </w:rPr>
            </w:pPr>
          </w:p>
        </w:tc>
        <w:tc>
          <w:tcPr>
            <w:tcW w:w="1723" w:type="dxa"/>
            <w:vMerge w:val="continue"/>
            <w:tcBorders>
              <w:top w:val="nil"/>
            </w:tcBorders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381" w:type="dxa"/>
          </w:tcPr>
          <w:p>
            <w:pPr>
              <w:pStyle w:val="15"/>
              <w:spacing w:before="67"/>
              <w:ind w:left="71" w:right="107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 w:bidi="zh-CN"/>
              </w:rPr>
              <w:t>S-300 HR</w:t>
            </w:r>
          </w:p>
        </w:tc>
        <w:tc>
          <w:tcPr>
            <w:tcW w:w="1868" w:type="dxa"/>
          </w:tcPr>
          <w:p>
            <w:pPr>
              <w:pStyle w:val="15"/>
              <w:spacing w:before="67"/>
              <w:ind w:left="43" w:right="36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 w:bidi="zh-CN"/>
              </w:rPr>
              <w:t>1 × 10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superscript"/>
                <w:lang w:val="en-US" w:eastAsia="zh-CN" w:bidi="zh-CN"/>
              </w:rPr>
              <w:t>4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 w:bidi="zh-CN"/>
              </w:rPr>
              <w:t>-1.5 × 10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superscript"/>
                <w:lang w:val="en-US" w:eastAsia="zh-CN" w:bidi="zh-CN"/>
              </w:rPr>
              <w:t>6</w:t>
            </w:r>
          </w:p>
        </w:tc>
        <w:tc>
          <w:tcPr>
            <w:tcW w:w="1035" w:type="dxa"/>
            <w:vMerge w:val="continue"/>
            <w:tcBorders>
              <w:top w:val="nil"/>
            </w:tcBorders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 w:bidi="zh-CN"/>
              </w:rPr>
            </w:pPr>
          </w:p>
        </w:tc>
        <w:tc>
          <w:tcPr>
            <w:tcW w:w="1458" w:type="dxa"/>
            <w:vMerge w:val="continue"/>
            <w:tcBorders>
              <w:top w:val="nil"/>
            </w:tcBorders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 w:bidi="zh-CN"/>
              </w:rPr>
            </w:pPr>
          </w:p>
        </w:tc>
        <w:tc>
          <w:tcPr>
            <w:tcW w:w="1066" w:type="dxa"/>
            <w:vMerge w:val="continue"/>
            <w:tcBorders>
              <w:top w:val="nil"/>
            </w:tcBorders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 w:bidi="zh-CN"/>
              </w:rPr>
            </w:pPr>
          </w:p>
        </w:tc>
        <w:tc>
          <w:tcPr>
            <w:tcW w:w="1723" w:type="dxa"/>
            <w:vMerge w:val="continue"/>
            <w:tcBorders>
              <w:top w:val="nil"/>
            </w:tcBorders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</w:trPr>
        <w:tc>
          <w:tcPr>
            <w:tcW w:w="1381" w:type="dxa"/>
          </w:tcPr>
          <w:p>
            <w:pPr>
              <w:pStyle w:val="15"/>
              <w:spacing w:before="67"/>
              <w:ind w:left="71" w:right="107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 w:bidi="zh-CN"/>
              </w:rPr>
              <w:t>S-400 HR</w:t>
            </w:r>
          </w:p>
        </w:tc>
        <w:tc>
          <w:tcPr>
            <w:tcW w:w="1868" w:type="dxa"/>
          </w:tcPr>
          <w:p>
            <w:pPr>
              <w:pStyle w:val="15"/>
              <w:spacing w:before="67"/>
              <w:ind w:left="43" w:right="36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 w:bidi="zh-CN"/>
              </w:rPr>
              <w:t>2 × 10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superscript"/>
                <w:lang w:val="en-US" w:eastAsia="zh-CN" w:bidi="zh-CN"/>
              </w:rPr>
              <w:t>4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 w:bidi="zh-CN"/>
              </w:rPr>
              <w:t xml:space="preserve">-8 × 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val="en-US" w:eastAsia="zh-CN" w:bidi="zh-CN"/>
              </w:rPr>
              <w:t>10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superscript"/>
                <w:lang w:val="en-US" w:eastAsia="zh-CN" w:bidi="zh-CN"/>
              </w:rPr>
              <w:t>6</w:t>
            </w:r>
          </w:p>
        </w:tc>
        <w:tc>
          <w:tcPr>
            <w:tcW w:w="1035" w:type="dxa"/>
            <w:vMerge w:val="continue"/>
            <w:tcBorders>
              <w:top w:val="nil"/>
            </w:tcBorders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 w:bidi="zh-CN"/>
              </w:rPr>
            </w:pPr>
          </w:p>
        </w:tc>
        <w:tc>
          <w:tcPr>
            <w:tcW w:w="1458" w:type="dxa"/>
            <w:vMerge w:val="continue"/>
            <w:tcBorders>
              <w:top w:val="nil"/>
            </w:tcBorders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 w:bidi="zh-CN"/>
              </w:rPr>
            </w:pPr>
          </w:p>
        </w:tc>
        <w:tc>
          <w:tcPr>
            <w:tcW w:w="1066" w:type="dxa"/>
            <w:vMerge w:val="continue"/>
            <w:tcBorders>
              <w:top w:val="nil"/>
            </w:tcBorders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 w:bidi="zh-CN"/>
              </w:rPr>
            </w:pPr>
          </w:p>
        </w:tc>
        <w:tc>
          <w:tcPr>
            <w:tcW w:w="1723" w:type="dxa"/>
            <w:vMerge w:val="continue"/>
            <w:tcBorders>
              <w:top w:val="nil"/>
            </w:tcBorders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381" w:type="dxa"/>
          </w:tcPr>
          <w:p>
            <w:pPr>
              <w:pStyle w:val="15"/>
              <w:spacing w:before="75"/>
              <w:ind w:left="71" w:right="107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 w:bidi="zh-CN"/>
              </w:rPr>
              <w:t>S-500 HR</w:t>
            </w:r>
          </w:p>
        </w:tc>
        <w:tc>
          <w:tcPr>
            <w:tcW w:w="1868" w:type="dxa"/>
          </w:tcPr>
          <w:p>
            <w:pPr>
              <w:pStyle w:val="15"/>
              <w:spacing w:before="75"/>
              <w:ind w:left="43" w:right="36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 w:bidi="zh-CN"/>
              </w:rPr>
              <w:t>4 × 10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superscript"/>
                <w:lang w:val="en-US" w:eastAsia="zh-CN" w:bidi="zh-CN"/>
              </w:rPr>
              <w:t>4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 w:bidi="zh-CN"/>
              </w:rPr>
              <w:t>-2 × 10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superscript"/>
                <w:lang w:val="en-US" w:eastAsia="zh-CN" w:bidi="zh-CN"/>
              </w:rPr>
              <w:t>7</w:t>
            </w:r>
          </w:p>
        </w:tc>
        <w:tc>
          <w:tcPr>
            <w:tcW w:w="1035" w:type="dxa"/>
            <w:vMerge w:val="continue"/>
            <w:tcBorders>
              <w:top w:val="nil"/>
            </w:tcBorders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 w:bidi="zh-CN"/>
              </w:rPr>
            </w:pPr>
          </w:p>
        </w:tc>
        <w:tc>
          <w:tcPr>
            <w:tcW w:w="1458" w:type="dxa"/>
            <w:vMerge w:val="continue"/>
            <w:tcBorders>
              <w:top w:val="nil"/>
            </w:tcBorders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 w:bidi="zh-CN"/>
              </w:rPr>
            </w:pPr>
          </w:p>
        </w:tc>
        <w:tc>
          <w:tcPr>
            <w:tcW w:w="1066" w:type="dxa"/>
            <w:vMerge w:val="continue"/>
            <w:tcBorders>
              <w:top w:val="nil"/>
            </w:tcBorders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 w:bidi="zh-CN"/>
              </w:rPr>
            </w:pPr>
          </w:p>
        </w:tc>
        <w:tc>
          <w:tcPr>
            <w:tcW w:w="1723" w:type="dxa"/>
            <w:vMerge w:val="continue"/>
            <w:tcBorders>
              <w:top w:val="nil"/>
            </w:tcBorders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 w:bidi="zh-CN"/>
              </w:rPr>
            </w:pPr>
          </w:p>
        </w:tc>
      </w:tr>
    </w:tbl>
    <w:p>
      <w:pPr>
        <w:widowControl w:val="0"/>
        <w:numPr>
          <w:numId w:val="0"/>
        </w:numPr>
        <w:autoSpaceDE w:val="0"/>
        <w:autoSpaceDN w:val="0"/>
        <w:spacing w:before="0" w:after="0" w:line="240" w:lineRule="auto"/>
        <w:ind w:right="0" w:rightChars="0" w:firstLine="220" w:firstLineChars="100"/>
        <w:jc w:val="left"/>
      </w:pPr>
      <w:r>
        <w:rPr>
          <w:rFonts w:hint="eastAsia"/>
        </w:rPr>
        <w:t>*检测条件：层析柱16mm&amp;#215;600mm *柱床高60cm，25&amp;#8451;，流动相为0.1mol/LNaCl。</w:t>
      </w:r>
    </w:p>
    <w:p>
      <w:pPr>
        <w:pStyle w:val="2"/>
        <w:numPr>
          <w:numId w:val="0"/>
        </w:numPr>
        <w:tabs>
          <w:tab w:val="left" w:pos="1145"/>
        </w:tabs>
        <w:spacing w:before="0" w:after="0" w:line="433" w:lineRule="exact"/>
        <w:ind w:right="0" w:rightChars="0"/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 w:bidi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 w:bidi="zh-CN"/>
        </w:rPr>
        <w:t>2、贮存</w:t>
      </w:r>
    </w:p>
    <w:p>
      <w:pPr>
        <w:pStyle w:val="4"/>
        <w:spacing w:before="93" w:line="288" w:lineRule="auto"/>
        <w:ind w:right="1128"/>
        <w:rPr>
          <w:spacing w:val="8"/>
          <w:w w:val="99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 w:bidi="zh-CN"/>
        </w:rPr>
        <w:t>产品应密封常温贮存（保存溶液为 20%乙醇）通风、干燥、清洁的地方，不能冷冻。用过的柱子贮存在 4℃（20%乙醇），保质期：2 年。</w:t>
      </w:r>
    </w:p>
    <w:p>
      <w:pPr>
        <w:pStyle w:val="2"/>
        <w:numPr>
          <w:numId w:val="0"/>
        </w:numPr>
        <w:tabs>
          <w:tab w:val="left" w:pos="1145"/>
        </w:tabs>
        <w:spacing w:before="8" w:after="0" w:line="240" w:lineRule="auto"/>
        <w:ind w:right="0" w:rightChars="0"/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 w:bidi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 w:bidi="zh-CN"/>
        </w:rPr>
        <w:t>3、操作步骤</w:t>
      </w:r>
    </w:p>
    <w:p>
      <w:pPr>
        <w:pStyle w:val="14"/>
        <w:numPr>
          <w:numId w:val="0"/>
        </w:numPr>
        <w:tabs>
          <w:tab w:val="left" w:pos="1329"/>
        </w:tabs>
        <w:spacing w:before="94" w:after="0" w:line="240" w:lineRule="auto"/>
        <w:ind w:right="0" w:rightChars="0"/>
        <w:jc w:val="left"/>
        <w:rPr>
          <w:rFonts w:hint="eastAsia" w:ascii="微软雅黑" w:hAnsi="微软雅黑" w:eastAsia="微软雅黑" w:cs="微软雅黑"/>
          <w:sz w:val="21"/>
          <w:szCs w:val="21"/>
          <w:lang w:val="en-US" w:eastAsia="zh-CN" w:bidi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 w:bidi="zh-CN"/>
        </w:rPr>
        <w:t>3.1装柱</w:t>
      </w:r>
    </w:p>
    <w:p>
      <w:pPr>
        <w:pStyle w:val="14"/>
        <w:numPr>
          <w:numId w:val="0"/>
        </w:numPr>
        <w:tabs>
          <w:tab w:val="left" w:pos="1329"/>
        </w:tabs>
        <w:spacing w:before="94" w:after="0" w:line="240" w:lineRule="auto"/>
        <w:ind w:right="0" w:rightChars="0"/>
        <w:jc w:val="left"/>
        <w:rPr>
          <w:rFonts w:hint="eastAsia" w:ascii="微软雅黑" w:hAnsi="微软雅黑" w:eastAsia="微软雅黑" w:cs="微软雅黑"/>
          <w:sz w:val="21"/>
          <w:szCs w:val="21"/>
          <w:lang w:val="en-US" w:eastAsia="zh-CN" w:bidi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 w:bidi="zh-CN"/>
        </w:rPr>
        <w:t>（1）让所有的材料和试剂均平衡至层析实验的温度。配制缓冲液，对所有的缓冲液进行脱气处理。</w:t>
      </w:r>
    </w:p>
    <w:p>
      <w:pPr>
        <w:pStyle w:val="14"/>
        <w:numPr>
          <w:numId w:val="0"/>
        </w:numPr>
        <w:tabs>
          <w:tab w:val="left" w:pos="1329"/>
        </w:tabs>
        <w:spacing w:before="94" w:after="0" w:line="240" w:lineRule="auto"/>
        <w:ind w:right="0" w:rightChars="0"/>
        <w:jc w:val="left"/>
        <w:rPr>
          <w:rFonts w:hint="eastAsia" w:ascii="微软雅黑" w:hAnsi="微软雅黑" w:eastAsia="微软雅黑" w:cs="微软雅黑"/>
          <w:sz w:val="21"/>
          <w:szCs w:val="21"/>
          <w:lang w:val="en-US" w:eastAsia="zh-CN" w:bidi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 w:bidi="zh-CN"/>
        </w:rPr>
        <w:t>（2）检查层析柱所有部件，特别是过滤网，密封圈，螺旋塞是否紧密，玻璃管是否干净和完整。</w:t>
      </w:r>
    </w:p>
    <w:p>
      <w:pPr>
        <w:pStyle w:val="14"/>
        <w:numPr>
          <w:numId w:val="0"/>
        </w:numPr>
        <w:tabs>
          <w:tab w:val="left" w:pos="1329"/>
        </w:tabs>
        <w:spacing w:before="94" w:after="0" w:line="240" w:lineRule="auto"/>
        <w:ind w:right="0" w:rightChars="0"/>
        <w:jc w:val="left"/>
        <w:rPr>
          <w:rFonts w:hint="eastAsia" w:ascii="微软雅黑" w:hAnsi="微软雅黑" w:eastAsia="微软雅黑" w:cs="微软雅黑"/>
          <w:sz w:val="21"/>
          <w:szCs w:val="21"/>
          <w:lang w:val="en-US" w:eastAsia="zh-CN" w:bidi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 w:bidi="zh-CN"/>
        </w:rPr>
        <w:t>（3）根据需要量取相应量的凝胶，用去离子水清洗掉 20%乙醇。</w:t>
      </w:r>
    </w:p>
    <w:p>
      <w:pPr>
        <w:pStyle w:val="14"/>
        <w:numPr>
          <w:numId w:val="0"/>
        </w:numPr>
        <w:tabs>
          <w:tab w:val="left" w:pos="1329"/>
        </w:tabs>
        <w:spacing w:before="94" w:after="0" w:line="240" w:lineRule="auto"/>
        <w:ind w:right="0" w:rightChars="0"/>
        <w:jc w:val="left"/>
        <w:rPr>
          <w:rFonts w:hint="eastAsia" w:ascii="微软雅黑" w:hAnsi="微软雅黑" w:eastAsia="微软雅黑" w:cs="微软雅黑"/>
          <w:sz w:val="21"/>
          <w:szCs w:val="21"/>
          <w:lang w:val="en-US" w:eastAsia="zh-CN" w:bidi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 w:bidi="zh-CN"/>
        </w:rPr>
        <w:t>（4）将柱子底端用水或缓冲液润湿并保持一小段液位，务必使底端无气泡。</w:t>
      </w:r>
    </w:p>
    <w:p>
      <w:pPr>
        <w:pStyle w:val="14"/>
        <w:numPr>
          <w:numId w:val="0"/>
        </w:numPr>
        <w:tabs>
          <w:tab w:val="left" w:pos="1329"/>
        </w:tabs>
        <w:spacing w:before="94" w:after="0" w:line="240" w:lineRule="auto"/>
        <w:ind w:right="0" w:rightChars="0"/>
        <w:jc w:val="left"/>
        <w:rPr>
          <w:rFonts w:hint="eastAsia" w:ascii="微软雅黑" w:hAnsi="微软雅黑" w:eastAsia="微软雅黑" w:cs="微软雅黑"/>
          <w:sz w:val="21"/>
          <w:szCs w:val="21"/>
          <w:lang w:val="en-US" w:eastAsia="zh-CN" w:bidi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 w:bidi="zh-CN"/>
        </w:rPr>
        <w:t>（5）用玻璃棒引导匀浆沿着柱内壁一次性倒入柱内，注意勿使产生气泡。打开柱子出液口，使凝胶   在柱内自由沉降，连结好柱子顶端柱头。</w:t>
      </w:r>
    </w:p>
    <w:p>
      <w:pPr>
        <w:pStyle w:val="14"/>
        <w:numPr>
          <w:numId w:val="0"/>
        </w:numPr>
        <w:tabs>
          <w:tab w:val="left" w:pos="1329"/>
        </w:tabs>
        <w:spacing w:before="94" w:after="0" w:line="240" w:lineRule="auto"/>
        <w:ind w:right="0" w:rightChars="0"/>
        <w:jc w:val="left"/>
        <w:rPr>
          <w:rFonts w:hint="eastAsia"/>
          <w:sz w:val="24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 w:bidi="zh-CN"/>
        </w:rPr>
        <w:t>（6）打开蠕动泵，让缓冲液用使用时流速的 1.33 倍的流速流过，使柱床稳定（注意压力不要超过填料最大耐压）。</w:t>
      </w:r>
    </w:p>
    <w:p>
      <w:pPr>
        <w:pStyle w:val="2"/>
        <w:numPr>
          <w:numId w:val="0"/>
        </w:numPr>
        <w:tabs>
          <w:tab w:val="left" w:pos="1329"/>
        </w:tabs>
        <w:spacing w:before="8" w:after="0" w:line="240" w:lineRule="auto"/>
        <w:ind w:right="0" w:rightChars="0"/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 w:bidi="zh-CN"/>
        </w:rPr>
      </w:pPr>
    </w:p>
    <w:p>
      <w:pPr>
        <w:pStyle w:val="2"/>
        <w:numPr>
          <w:numId w:val="0"/>
        </w:numPr>
        <w:tabs>
          <w:tab w:val="left" w:pos="1329"/>
        </w:tabs>
        <w:spacing w:before="8" w:after="0" w:line="240" w:lineRule="auto"/>
        <w:ind w:right="0" w:rightChars="0"/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 w:bidi="zh-CN"/>
        </w:rPr>
      </w:pPr>
    </w:p>
    <w:p>
      <w:pP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 w:bidi="zh-CN"/>
        </w:rPr>
      </w:pPr>
    </w:p>
    <w:p>
      <w:pP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 w:bidi="zh-CN"/>
        </w:rPr>
      </w:pPr>
    </w:p>
    <w:p>
      <w:pP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 w:bidi="zh-CN"/>
        </w:rPr>
      </w:pPr>
    </w:p>
    <w:p>
      <w:pPr>
        <w:pStyle w:val="2"/>
        <w:numPr>
          <w:numId w:val="0"/>
        </w:numPr>
        <w:tabs>
          <w:tab w:val="left" w:pos="1329"/>
        </w:tabs>
        <w:spacing w:before="8" w:after="0" w:line="240" w:lineRule="auto"/>
        <w:ind w:right="0" w:rightChars="0"/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 w:bidi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 w:bidi="zh-CN"/>
        </w:rPr>
        <w:t>3.2平衡</w:t>
      </w:r>
    </w:p>
    <w:p>
      <w:pPr>
        <w:rPr>
          <w:rFonts w:hint="eastAsia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 w:bidi="zh-CN"/>
        </w:rPr>
        <w:t>上样前平衡层析柱至少 5-10 个柱体积，直到记录仪基线变得平稳为止（流出液的 pH 值和电导值等于上柱 Buffer 的 pH 值和电导值）。</w:t>
      </w:r>
    </w:p>
    <w:p>
      <w:pPr>
        <w:pStyle w:val="2"/>
        <w:numPr>
          <w:numId w:val="0"/>
        </w:numPr>
        <w:tabs>
          <w:tab w:val="left" w:pos="1329"/>
        </w:tabs>
        <w:spacing w:before="8" w:after="0" w:line="240" w:lineRule="auto"/>
        <w:ind w:right="0" w:rightChars="0"/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 w:bidi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 w:bidi="zh-CN"/>
        </w:rPr>
        <w:t>3.3上样</w:t>
      </w:r>
    </w:p>
    <w:p>
      <w:pPr>
        <w:spacing w:beforeLines="0" w:after="75" w:afterLines="0" w:line="360" w:lineRule="auto"/>
        <w:ind w:right="225"/>
        <w:jc w:val="left"/>
        <w:rPr>
          <w:rFonts w:hint="eastAsia" w:ascii="微软雅黑" w:hAnsi="微软雅黑" w:eastAsia="微软雅黑" w:cs="微软雅黑"/>
          <w:sz w:val="21"/>
          <w:szCs w:val="21"/>
          <w:lang w:val="en-US" w:eastAsia="zh-CN" w:bidi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 w:bidi="zh-CN"/>
        </w:rPr>
        <w:t>（1） 样品用平衡液配制，样品一定要离心或过滤后上样（0.45um 滤膜），如果样品盐浓度太大，则需要处理后再上样。</w:t>
      </w:r>
    </w:p>
    <w:p>
      <w:pPr>
        <w:spacing w:beforeLines="0" w:after="75" w:afterLines="0" w:line="360" w:lineRule="auto"/>
        <w:ind w:right="225"/>
        <w:jc w:val="left"/>
        <w:rPr>
          <w:rFonts w:hint="eastAsia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 w:bidi="zh-CN"/>
        </w:rPr>
        <w:t>（2） 推荐的上样量不超过柱体积的5%。</w:t>
      </w:r>
    </w:p>
    <w:p>
      <w:pPr>
        <w:pStyle w:val="2"/>
        <w:numPr>
          <w:numId w:val="0"/>
        </w:numPr>
        <w:tabs>
          <w:tab w:val="left" w:pos="1329"/>
        </w:tabs>
        <w:spacing w:before="86" w:after="0" w:line="240" w:lineRule="auto"/>
        <w:ind w:right="0" w:rightChars="0"/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 w:bidi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 w:bidi="zh-CN"/>
        </w:rPr>
        <w:t>3.4洗脱</w:t>
      </w:r>
    </w:p>
    <w:p>
      <w:pPr>
        <w:pStyle w:val="4"/>
        <w:spacing w:before="85"/>
        <w:rPr>
          <w:rFonts w:hint="eastAsia" w:ascii="微软雅黑" w:hAnsi="微软雅黑" w:eastAsia="微软雅黑" w:cs="微软雅黑"/>
          <w:sz w:val="21"/>
          <w:szCs w:val="21"/>
          <w:lang w:val="en-US" w:eastAsia="zh-CN" w:bidi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 w:bidi="zh-CN"/>
        </w:rPr>
        <w:t>用缓冲液洗脱，洗脱中保持流速、缓冲液组成不变。</w:t>
      </w:r>
    </w:p>
    <w:p>
      <w:pPr>
        <w:pStyle w:val="2"/>
        <w:numPr>
          <w:numId w:val="0"/>
        </w:numPr>
        <w:tabs>
          <w:tab w:val="left" w:pos="1329"/>
        </w:tabs>
        <w:spacing w:before="86" w:after="0" w:line="240" w:lineRule="auto"/>
        <w:ind w:right="0" w:rightChars="0"/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 w:bidi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 w:bidi="zh-CN"/>
        </w:rPr>
        <w:t>3.5再生</w:t>
      </w:r>
    </w:p>
    <w:p>
      <w:pPr>
        <w:pStyle w:val="4"/>
        <w:spacing w:before="93" w:line="288" w:lineRule="auto"/>
        <w:ind w:right="1086"/>
        <w:rPr>
          <w:rFonts w:hint="eastAsia" w:ascii="微软雅黑" w:hAnsi="微软雅黑" w:eastAsia="微软雅黑" w:cs="微软雅黑"/>
          <w:sz w:val="21"/>
          <w:szCs w:val="21"/>
          <w:lang w:val="en-US" w:eastAsia="zh-CN" w:bidi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 w:bidi="zh-CN"/>
        </w:rPr>
        <w:t>一般用缓冲液洗到平衡，可再次使用。在一些应用中，诸如变性蛋白质或脂质体物质在再生过程中洗脱不掉。出现下面这些情况，是必须需要清洗再生的：</w:t>
      </w:r>
    </w:p>
    <w:p>
      <w:pPr>
        <w:rPr>
          <w:rFonts w:hint="eastAsia" w:ascii="微软雅黑" w:hAnsi="微软雅黑" w:eastAsia="微软雅黑" w:cs="微软雅黑"/>
          <w:sz w:val="21"/>
          <w:szCs w:val="21"/>
          <w:lang w:val="en-US" w:eastAsia="zh-CN" w:bidi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 w:bidi="zh-CN"/>
        </w:rPr>
        <w:t>（1）背压增加；</w:t>
      </w:r>
    </w:p>
    <w:p>
      <w:pPr>
        <w:rPr>
          <w:rFonts w:hint="eastAsia" w:ascii="微软雅黑" w:hAnsi="微软雅黑" w:eastAsia="微软雅黑" w:cs="微软雅黑"/>
          <w:sz w:val="21"/>
          <w:szCs w:val="21"/>
          <w:lang w:val="en-US" w:eastAsia="zh-CN" w:bidi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 w:bidi="zh-CN"/>
        </w:rPr>
        <w:t>（2）色谱柱顶部的颜色变化；</w:t>
      </w:r>
    </w:p>
    <w:p>
      <w:pPr>
        <w:rPr>
          <w:rFonts w:hint="eastAsia" w:ascii="微软雅黑" w:hAnsi="微软雅黑" w:eastAsia="微软雅黑" w:cs="微软雅黑"/>
          <w:sz w:val="21"/>
          <w:szCs w:val="21"/>
          <w:lang w:val="en-US" w:eastAsia="zh-CN" w:bidi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 w:bidi="zh-CN"/>
        </w:rPr>
        <w:t>（3）分辨率降低；</w:t>
      </w:r>
    </w:p>
    <w:p>
      <w:pPr>
        <w:rPr>
          <w:rFonts w:hint="eastAsia" w:ascii="微软雅黑" w:hAnsi="微软雅黑" w:eastAsia="微软雅黑" w:cs="微软雅黑"/>
          <w:sz w:val="21"/>
          <w:szCs w:val="21"/>
          <w:lang w:val="en-US" w:eastAsia="zh-CN" w:bidi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 w:bidi="zh-CN"/>
        </w:rPr>
        <w:t>（4）转换接头和凝胶表面之间出现空隙。</w:t>
      </w:r>
    </w:p>
    <w:p>
      <w:pPr>
        <w:ind w:firstLine="420" w:firstLineChars="200"/>
        <w:rPr>
          <w:rFonts w:hint="eastAsia" w:ascii="微软雅黑" w:hAnsi="微软雅黑" w:eastAsia="微软雅黑" w:cs="微软雅黑"/>
          <w:sz w:val="21"/>
          <w:szCs w:val="21"/>
          <w:lang w:val="en-US" w:eastAsia="zh-CN" w:bidi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 w:bidi="zh-CN"/>
        </w:rPr>
        <w:t>如果观察到压力增大，在开始柱清洁程序之前先检查管路中的各个过滤阀、过滤膜是否被污染，然后通过用 0.1M NaOH 洗涤柱子，除去沉淀的蛋白质，非特异性结合的蛋白质和脂蛋白。</w:t>
      </w:r>
    </w:p>
    <w:p>
      <w:pPr>
        <w:spacing w:beforeLines="0" w:after="75" w:afterLines="0" w:line="360" w:lineRule="auto"/>
        <w:ind w:right="225"/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  <w:lang w:val="zh-CN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zh-CN" w:eastAsia="zh-CN"/>
        </w:rPr>
        <w:t>4、注意事项</w:t>
      </w:r>
    </w:p>
    <w:p>
      <w:pPr>
        <w:spacing w:beforeLines="0" w:after="75" w:afterLines="0" w:line="360" w:lineRule="auto"/>
        <w:ind w:right="225"/>
        <w:jc w:val="left"/>
        <w:rPr>
          <w:rFonts w:hint="eastAsia" w:ascii="微软雅黑" w:hAnsi="微软雅黑" w:eastAsia="微软雅黑" w:cs="微软雅黑"/>
          <w:sz w:val="21"/>
          <w:szCs w:val="21"/>
          <w:lang w:val="en-US" w:eastAsia="zh-CN" w:bidi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 w:bidi="zh-CN"/>
        </w:rPr>
        <w:t>（1）上样之前，样品必须经过膜过滤及去除色素，否则杂质及色素会被吸附到填料上，影响填料的   正常使用。所有的缓冲液均需要用 0.45um 的过滤器过滤。</w:t>
      </w:r>
    </w:p>
    <w:p>
      <w:pPr>
        <w:spacing w:beforeLines="0" w:after="75" w:afterLines="0" w:line="360" w:lineRule="auto"/>
        <w:ind w:right="225"/>
        <w:jc w:val="left"/>
        <w:rPr>
          <w:rFonts w:hint="eastAsia" w:ascii="微软雅黑" w:hAnsi="微软雅黑" w:eastAsia="微软雅黑" w:cs="微软雅黑"/>
          <w:sz w:val="21"/>
          <w:szCs w:val="21"/>
          <w:lang w:val="en-US" w:eastAsia="zh-CN" w:bidi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 w:bidi="zh-CN"/>
        </w:rPr>
        <w:t>（2）在使用过程中，避免使用高浓度的强酸强碱，酸和碱的浓度应低于 0.1 摩尔。碱会使流速变慢。</w:t>
      </w:r>
    </w:p>
    <w:p>
      <w:pPr>
        <w:spacing w:beforeLines="0" w:after="75" w:afterLines="0" w:line="360" w:lineRule="auto"/>
        <w:ind w:right="225"/>
        <w:jc w:val="left"/>
        <w:rPr>
          <w:rFonts w:hint="eastAsia" w:ascii="微软雅黑" w:hAnsi="微软雅黑" w:eastAsia="微软雅黑" w:cs="微软雅黑"/>
          <w:sz w:val="21"/>
          <w:szCs w:val="21"/>
          <w:lang w:val="en-US" w:eastAsia="zh-CN" w:bidi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 w:bidi="zh-CN"/>
        </w:rPr>
        <w:t>（3）不同的样品，吸附和洗脱方法不相同，可以根据相关的文献进行</w:t>
      </w:r>
    </w:p>
    <w:p>
      <w:pPr>
        <w:spacing w:beforeLines="0" w:after="75" w:afterLines="0" w:line="360" w:lineRule="auto"/>
        <w:ind w:right="225"/>
        <w:jc w:val="left"/>
        <w:rPr>
          <w:rFonts w:hint="eastAsia" w:ascii="微软雅黑" w:hAnsi="微软雅黑" w:eastAsia="微软雅黑" w:cs="微软雅黑"/>
          <w:sz w:val="21"/>
          <w:szCs w:val="21"/>
          <w:lang w:val="en-US" w:eastAsia="zh-CN" w:bidi="zh-CN"/>
        </w:rPr>
      </w:pPr>
    </w:p>
    <w:p>
      <w:pPr>
        <w:spacing w:beforeLines="0" w:after="75" w:afterLines="0" w:line="360" w:lineRule="auto"/>
        <w:ind w:right="225"/>
        <w:jc w:val="left"/>
        <w:rPr>
          <w:rFonts w:hint="default" w:ascii="微软雅黑" w:hAnsi="微软雅黑" w:eastAsia="微软雅黑" w:cs="微软雅黑"/>
          <w:sz w:val="21"/>
          <w:szCs w:val="21"/>
          <w:lang w:val="en-US" w:eastAsia="zh-CN" w:bidi="zh-CN"/>
        </w:rPr>
      </w:pPr>
    </w:p>
    <w:p>
      <w:pPr>
        <w:pStyle w:val="14"/>
        <w:numPr>
          <w:numId w:val="0"/>
        </w:numPr>
        <w:tabs>
          <w:tab w:val="left" w:pos="1329"/>
        </w:tabs>
        <w:spacing w:before="94" w:after="0" w:line="240" w:lineRule="auto"/>
        <w:ind w:right="0" w:rightChars="0"/>
        <w:jc w:val="left"/>
        <w:rPr>
          <w:rFonts w:hint="default" w:eastAsia="宋体"/>
          <w:sz w:val="24"/>
          <w:lang w:val="en-US" w:eastAsia="zh-CN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both"/>
        <w:rPr>
          <w:rFonts w:hint="default" w:ascii="微软雅黑" w:hAnsi="微软雅黑" w:eastAsia="微软雅黑" w:cs="微软雅黑"/>
          <w:sz w:val="21"/>
          <w:szCs w:val="21"/>
          <w:lang w:val="en-US" w:eastAsia="zh-CN" w:bidi="zh-CN"/>
        </w:rPr>
      </w:pPr>
      <w:bookmarkStart w:id="0" w:name="_GoBack"/>
      <w:bookmarkEnd w:id="0"/>
    </w:p>
    <w:sectPr>
      <w:headerReference r:id="rId3" w:type="default"/>
      <w:pgSz w:w="11900" w:h="16820"/>
      <w:pgMar w:top="1600" w:right="1220" w:bottom="280" w:left="1680" w:header="72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MS UI Gothic">
    <w:panose1 w:val="020B0600070205080204"/>
    <w:charset w:val="80"/>
    <w:family w:val="swiss"/>
    <w:pitch w:val="default"/>
    <w:sig w:usb0="E00002FF" w:usb1="6AC7FDFB" w:usb2="00000012" w:usb3="00000000" w:csb0="4002009F" w:csb1="DFD7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rFonts w:hint="eastAsia"/>
        <w:lang w:eastAsia="zh-CN"/>
      </w:rPr>
      <w:drawing>
        <wp:anchor distT="0" distB="0" distL="114300" distR="114300" simplePos="0" relativeHeight="503310336" behindDoc="1" locked="0" layoutInCell="1" allowOverlap="1">
          <wp:simplePos x="0" y="0"/>
          <wp:positionH relativeFrom="column">
            <wp:posOffset>-37465</wp:posOffset>
          </wp:positionH>
          <wp:positionV relativeFrom="paragraph">
            <wp:posOffset>-84455</wp:posOffset>
          </wp:positionV>
          <wp:extent cx="1844675" cy="963930"/>
          <wp:effectExtent l="0" t="0" r="3175" b="7620"/>
          <wp:wrapTight wrapText="bothSides">
            <wp:wrapPolygon>
              <wp:start x="14276" y="0"/>
              <wp:lineTo x="11822" y="1708"/>
              <wp:lineTo x="11822" y="2134"/>
              <wp:lineTo x="14722" y="6830"/>
              <wp:lineTo x="1785" y="8111"/>
              <wp:lineTo x="0" y="8964"/>
              <wp:lineTo x="0" y="14514"/>
              <wp:lineTo x="20522" y="20490"/>
              <wp:lineTo x="20745" y="21344"/>
              <wp:lineTo x="21414" y="21344"/>
              <wp:lineTo x="21414" y="17075"/>
              <wp:lineTo x="20522" y="13660"/>
              <wp:lineTo x="19853" y="6403"/>
              <wp:lineTo x="18291" y="2561"/>
              <wp:lineTo x="16953" y="0"/>
              <wp:lineTo x="14276" y="0"/>
            </wp:wrapPolygon>
          </wp:wrapTight>
          <wp:docPr id="1" name="图片 1" descr="透明底ameko标志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透明底ameko标志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44675" cy="963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32"/>
      </w:rPr>
      <mc:AlternateContent>
        <mc:Choice Requires="wps">
          <w:drawing>
            <wp:anchor distT="0" distB="0" distL="114300" distR="114300" simplePos="0" relativeHeight="503309312" behindDoc="0" locked="0" layoutInCell="1" allowOverlap="1">
              <wp:simplePos x="0" y="0"/>
              <wp:positionH relativeFrom="column">
                <wp:posOffset>3501390</wp:posOffset>
              </wp:positionH>
              <wp:positionV relativeFrom="paragraph">
                <wp:posOffset>2540</wp:posOffset>
              </wp:positionV>
              <wp:extent cx="1929765" cy="888365"/>
              <wp:effectExtent l="4445" t="4445" r="8890" b="2159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4568190" y="472440"/>
                        <a:ext cx="1929765" cy="8883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FFFFFF"/>
                        </a:solidFill>
                      </a:ln>
                      <a:effectLst/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  <w:t>电话:400-0918-500</w:t>
                          </w:r>
                        </w:p>
                        <w:p>
                          <w:pPr>
                            <w:pStyle w:val="6"/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  <w:t>网站 :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  <w:fldChar w:fldCharType="begin"/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  <w:instrText xml:space="preserve"> HYPERLINK "http://www.biolianshuo.com/" </w:instrTex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  <w:fldChar w:fldCharType="separate"/>
                          </w:r>
                          <w:r>
                            <w:rPr>
                              <w:rStyle w:val="12"/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sz w:val="18"/>
                              <w:szCs w:val="18"/>
                            </w:rPr>
                            <w:t>www.biolianshuo.com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  <w:fldChar w:fldCharType="end"/>
                          </w:r>
                        </w:p>
                        <w:p>
                          <w:pPr>
                            <w:pStyle w:val="6"/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  <w:t>传真:总机转808</w:t>
                          </w:r>
                        </w:p>
                        <w:p>
                          <w:pPr>
                            <w:pStyle w:val="6"/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  <w:t xml:space="preserve">邮箱:lianshuo@vip.126.com </w:t>
                          </w:r>
                        </w:p>
                        <w:p>
                          <w:pPr>
                            <w:pStyle w:val="6"/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</w:pPr>
                        </w:p>
                        <w:p>
                          <w:pPr>
                            <w:pStyle w:val="6"/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75.7pt;margin-top:0.2pt;height:69.95pt;width:151.95pt;z-index:503309312;mso-width-relative:page;mso-height-relative:page;" fillcolor="#FFFFFF" filled="t" stroked="t" coordsize="21600,21600" o:gfxdata="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vyiChdcAAAAIAQAADwAAAAAAAAABACAA&#10;AAAiAAAAZHJzL2Rvd25yZXYueG1sUEsBAhQAFAAAAAgAh07iQAwJfCdHAgAAgwQAAA4AAAAAAAAA&#10;AQAgAAAAJgEAAGRycy9lMm9Eb2MueG1sUEsFBgAAAAAGAAYAWQEAAN8FAAAAAA==&#10;">
              <v:fill on="t" focussize="0,0"/>
              <v:stroke weight="0.5pt" color="#FFFFFF" joinstyle="round"/>
              <v:imagedata o:title=""/>
              <o:lock v:ext="edit" aspectratio="f"/>
              <v:textbox>
                <w:txbxContent>
                  <w:p>
                    <w:pPr>
                      <w:pStyle w:val="6"/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</w:pPr>
                    <w:r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  <w:t>电话:400-0918-500</w:t>
                    </w:r>
                  </w:p>
                  <w:p>
                    <w:pPr>
                      <w:pStyle w:val="6"/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</w:pPr>
                    <w:r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  <w:t>网站 :</w:t>
                    </w:r>
                    <w:r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  <w:fldChar w:fldCharType="begin"/>
                    </w:r>
                    <w:r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  <w:instrText xml:space="preserve"> HYPERLINK "http://www.biolianshuo.com/" </w:instrText>
                    </w:r>
                    <w:r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  <w:fldChar w:fldCharType="separate"/>
                    </w:r>
                    <w:r>
                      <w:rPr>
                        <w:rStyle w:val="12"/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sz w:val="18"/>
                        <w:szCs w:val="18"/>
                      </w:rPr>
                      <w:t>www.biolianshuo.com</w:t>
                    </w:r>
                    <w:r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  <w:fldChar w:fldCharType="end"/>
                    </w:r>
                  </w:p>
                  <w:p>
                    <w:pPr>
                      <w:pStyle w:val="6"/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</w:pPr>
                    <w:r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  <w:t>传真:总机转808</w:t>
                    </w:r>
                  </w:p>
                  <w:p>
                    <w:pPr>
                      <w:pStyle w:val="6"/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</w:pPr>
                    <w:r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  <w:t xml:space="preserve">邮箱:lianshuo@vip.126.com </w:t>
                    </w:r>
                  </w:p>
                  <w:p>
                    <w:pPr>
                      <w:pStyle w:val="6"/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</w:pPr>
                  </w:p>
                  <w:p>
                    <w:pPr>
                      <w:pStyle w:val="6"/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2"/>
    </o:shapelayout>
  </w:hdrShapeDefaults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637FD2"/>
    <w:rsid w:val="03A55FB4"/>
    <w:rsid w:val="08314152"/>
    <w:rsid w:val="08E22FF9"/>
    <w:rsid w:val="09771772"/>
    <w:rsid w:val="0A0148D7"/>
    <w:rsid w:val="0A160B13"/>
    <w:rsid w:val="0BF24DD5"/>
    <w:rsid w:val="0C9201FC"/>
    <w:rsid w:val="0CD03759"/>
    <w:rsid w:val="0E05003A"/>
    <w:rsid w:val="0EF37BC9"/>
    <w:rsid w:val="10B937BA"/>
    <w:rsid w:val="1257478E"/>
    <w:rsid w:val="133270C2"/>
    <w:rsid w:val="13747265"/>
    <w:rsid w:val="15094E42"/>
    <w:rsid w:val="17BE39E4"/>
    <w:rsid w:val="17C72D48"/>
    <w:rsid w:val="18F21F10"/>
    <w:rsid w:val="1A111D38"/>
    <w:rsid w:val="1C4A5DCF"/>
    <w:rsid w:val="1C6F5233"/>
    <w:rsid w:val="1DE47B23"/>
    <w:rsid w:val="1ECA2316"/>
    <w:rsid w:val="1ED51427"/>
    <w:rsid w:val="206B29DA"/>
    <w:rsid w:val="23FF188A"/>
    <w:rsid w:val="249C62BB"/>
    <w:rsid w:val="25931122"/>
    <w:rsid w:val="26217550"/>
    <w:rsid w:val="267B6097"/>
    <w:rsid w:val="27B0263A"/>
    <w:rsid w:val="27E1458F"/>
    <w:rsid w:val="286B3B4E"/>
    <w:rsid w:val="28FE1800"/>
    <w:rsid w:val="29126F5D"/>
    <w:rsid w:val="2A5B29F9"/>
    <w:rsid w:val="2B0A5988"/>
    <w:rsid w:val="2C500100"/>
    <w:rsid w:val="2D9468A8"/>
    <w:rsid w:val="2E4C2474"/>
    <w:rsid w:val="2E7A5006"/>
    <w:rsid w:val="2ECF3CC2"/>
    <w:rsid w:val="3098481A"/>
    <w:rsid w:val="324159A6"/>
    <w:rsid w:val="32697AD0"/>
    <w:rsid w:val="342A141B"/>
    <w:rsid w:val="37A255EB"/>
    <w:rsid w:val="383D440E"/>
    <w:rsid w:val="393E678C"/>
    <w:rsid w:val="3DAC52A6"/>
    <w:rsid w:val="3DD94FB0"/>
    <w:rsid w:val="3DE12D46"/>
    <w:rsid w:val="3F1578F8"/>
    <w:rsid w:val="41E11C5E"/>
    <w:rsid w:val="420D54F7"/>
    <w:rsid w:val="42672385"/>
    <w:rsid w:val="42843918"/>
    <w:rsid w:val="436A76C0"/>
    <w:rsid w:val="436C7D7E"/>
    <w:rsid w:val="45AE35C9"/>
    <w:rsid w:val="47EA0923"/>
    <w:rsid w:val="48DF7540"/>
    <w:rsid w:val="49265300"/>
    <w:rsid w:val="4B1D1D88"/>
    <w:rsid w:val="4F3E5084"/>
    <w:rsid w:val="4F6010CA"/>
    <w:rsid w:val="501C2232"/>
    <w:rsid w:val="517B11FD"/>
    <w:rsid w:val="522B07B3"/>
    <w:rsid w:val="524C4A25"/>
    <w:rsid w:val="52C40D0F"/>
    <w:rsid w:val="554137E0"/>
    <w:rsid w:val="572E2FBD"/>
    <w:rsid w:val="58E43842"/>
    <w:rsid w:val="5AC853F2"/>
    <w:rsid w:val="5B5F4D7C"/>
    <w:rsid w:val="5CC90C33"/>
    <w:rsid w:val="5D35021E"/>
    <w:rsid w:val="5DEC0ED8"/>
    <w:rsid w:val="5E00363E"/>
    <w:rsid w:val="5F0500D7"/>
    <w:rsid w:val="60340CB9"/>
    <w:rsid w:val="60B92B56"/>
    <w:rsid w:val="623678D5"/>
    <w:rsid w:val="623A6919"/>
    <w:rsid w:val="628B1E38"/>
    <w:rsid w:val="629C1EE8"/>
    <w:rsid w:val="62F767F2"/>
    <w:rsid w:val="62FB7F17"/>
    <w:rsid w:val="63705EAE"/>
    <w:rsid w:val="63FC59EE"/>
    <w:rsid w:val="665A5EB8"/>
    <w:rsid w:val="66963D6C"/>
    <w:rsid w:val="6BD40F38"/>
    <w:rsid w:val="6D6B48A6"/>
    <w:rsid w:val="6D8E5CCF"/>
    <w:rsid w:val="6EB206AF"/>
    <w:rsid w:val="6FD47DB9"/>
    <w:rsid w:val="712035B3"/>
    <w:rsid w:val="726E2937"/>
    <w:rsid w:val="75106537"/>
    <w:rsid w:val="75A16D6B"/>
    <w:rsid w:val="77A75EB5"/>
    <w:rsid w:val="78ED7825"/>
    <w:rsid w:val="79E44FEE"/>
    <w:rsid w:val="7BD1728A"/>
    <w:rsid w:val="7CDE1C6F"/>
    <w:rsid w:val="7E1079ED"/>
    <w:rsid w:val="7E3B707B"/>
    <w:rsid w:val="7E5E5BDA"/>
    <w:rsid w:val="7EF43C1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MS Mincho" w:hAnsi="MS Mincho" w:eastAsia="MS Mincho" w:cs="MS Mincho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403"/>
      <w:outlineLvl w:val="1"/>
    </w:pPr>
    <w:rPr>
      <w:rFonts w:ascii="MS Mincho" w:hAnsi="MS Mincho" w:eastAsia="MS Mincho" w:cs="MS Mincho"/>
      <w:b/>
      <w:bCs/>
      <w:sz w:val="24"/>
      <w:szCs w:val="24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ind w:left="440"/>
      <w:outlineLvl w:val="2"/>
    </w:pPr>
    <w:rPr>
      <w:rFonts w:ascii="微软雅黑" w:hAnsi="微软雅黑" w:eastAsia="微软雅黑" w:cs="微软雅黑"/>
      <w:b/>
      <w:bCs/>
      <w:sz w:val="21"/>
      <w:szCs w:val="21"/>
      <w:lang w:val="en-US" w:eastAsia="en-US" w:bidi="en-US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MS Mincho" w:hAnsi="MS Mincho" w:eastAsia="MS Mincho" w:cs="MS Mincho"/>
      <w:sz w:val="21"/>
      <w:szCs w:val="21"/>
      <w:lang w:val="zh-CN" w:eastAsia="zh-CN" w:bidi="zh-CN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table" w:customStyle="1" w:styleId="13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4">
    <w:name w:val="List Paragraph"/>
    <w:basedOn w:val="1"/>
    <w:qFormat/>
    <w:uiPriority w:val="1"/>
    <w:rPr>
      <w:lang w:val="zh-CN" w:eastAsia="zh-CN" w:bidi="zh-CN"/>
    </w:rPr>
  </w:style>
  <w:style w:type="paragraph" w:customStyle="1" w:styleId="15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ScaleCrop>false</ScaleCrop>
  <LinksUpToDate>false</LinksUpToDate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2019-01-16T08:54:00Z</dcterms:created>
  <dc:creator>Administrator</dc:creator>
  <cp:lastModifiedBy>Administrator</cp:lastModifiedBy>
  <dcterms:modified xsi:type="dcterms:W3CDTF">2020-08-12T06:01:55Z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2017-02-18T00:00:00Z</vt:filetime>
  </property>
  <property fmtid="{D5CDD505-2E9C-101B-9397-08002B2CF9AE}" pid="3" name="Creator">
    <vt:lpwstr>Aspose Ltd.</vt:lpwstr>
  </property>
  <property fmtid="{D5CDD505-2E9C-101B-9397-08002B2CF9AE}" pid="4" name="LastSaved">
    <vt:filetime>2019-01-16T00:00:00Z</vt:filetime>
  </property>
  <property fmtid="{D5CDD505-2E9C-101B-9397-08002B2CF9AE}" pid="5" name="KSOProductBuildVer">
    <vt:lpwstr>2052-11.1.0.9912</vt:lpwstr>
  </property>
</Properties>
</file>