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EjKKOH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 丙烯葡聚糖凝胶S-200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产品编号：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AS52145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 w:firstLine="420" w:firstLineChars="20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  <w:t>丙烯葡聚糖凝胶系列填料是烯丙基葡聚糖和 N，N'-亚甲基双丙烯酰胺的交联共聚物，平均粒径为 50μm，同时增加了基体的刚性，确保快速流动特性和高分辨率。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 w:firstLine="420" w:firstLineChars="20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pStyle w:val="2"/>
        <w:numPr>
          <w:numId w:val="0"/>
        </w:numPr>
        <w:tabs>
          <w:tab w:val="left" w:pos="1145"/>
        </w:tabs>
        <w:spacing w:before="78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1、理化指标</w:t>
      </w:r>
    </w:p>
    <w:tbl>
      <w:tblPr>
        <w:tblStyle w:val="8"/>
        <w:tblpPr w:leftFromText="180" w:rightFromText="180" w:vertAnchor="text" w:horzAnchor="page" w:tblpX="1986" w:tblpY="18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868"/>
        <w:gridCol w:w="1035"/>
        <w:gridCol w:w="1458"/>
        <w:gridCol w:w="1066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81" w:type="dxa"/>
          </w:tcPr>
          <w:p>
            <w:pPr>
              <w:pStyle w:val="15"/>
              <w:spacing w:before="2" w:line="368" w:lineRule="exact"/>
              <w:ind w:left="86" w:right="86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产品名称</w:t>
            </w:r>
          </w:p>
        </w:tc>
        <w:tc>
          <w:tcPr>
            <w:tcW w:w="1868" w:type="dxa"/>
          </w:tcPr>
          <w:p>
            <w:pPr>
              <w:pStyle w:val="15"/>
              <w:spacing w:before="2" w:line="368" w:lineRule="exact"/>
              <w:ind w:left="81" w:right="36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分离范围（球蛋白）</w:t>
            </w:r>
          </w:p>
        </w:tc>
        <w:tc>
          <w:tcPr>
            <w:tcW w:w="1035" w:type="dxa"/>
          </w:tcPr>
          <w:p>
            <w:pPr>
              <w:pStyle w:val="15"/>
              <w:spacing w:before="2" w:line="368" w:lineRule="exact"/>
              <w:ind w:left="138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平均粒径</w:t>
            </w:r>
          </w:p>
        </w:tc>
        <w:tc>
          <w:tcPr>
            <w:tcW w:w="1458" w:type="dxa"/>
          </w:tcPr>
          <w:p>
            <w:pPr>
              <w:pStyle w:val="15"/>
              <w:spacing w:before="2" w:line="368" w:lineRule="exact"/>
              <w:ind w:left="146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pH 适用范围</w:t>
            </w:r>
          </w:p>
        </w:tc>
        <w:tc>
          <w:tcPr>
            <w:tcW w:w="1066" w:type="dxa"/>
          </w:tcPr>
          <w:p>
            <w:pPr>
              <w:pStyle w:val="15"/>
              <w:spacing w:before="2" w:line="368" w:lineRule="exact"/>
              <w:ind w:left="312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耐压</w:t>
            </w:r>
          </w:p>
        </w:tc>
        <w:tc>
          <w:tcPr>
            <w:tcW w:w="1723" w:type="dxa"/>
          </w:tcPr>
          <w:p>
            <w:pPr>
              <w:pStyle w:val="15"/>
              <w:spacing w:before="2" w:line="368" w:lineRule="exact"/>
              <w:ind w:left="328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化学稳定性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81" w:type="dxa"/>
          </w:tcPr>
          <w:p>
            <w:pPr>
              <w:pStyle w:val="15"/>
              <w:spacing w:before="67"/>
              <w:ind w:left="71" w:right="107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S-100 HR</w:t>
            </w:r>
          </w:p>
        </w:tc>
        <w:tc>
          <w:tcPr>
            <w:tcW w:w="1868" w:type="dxa"/>
          </w:tcPr>
          <w:p>
            <w:pPr>
              <w:pStyle w:val="15"/>
              <w:spacing w:before="67"/>
              <w:ind w:left="43" w:right="36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1 × 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superscript"/>
                <w:lang w:val="en-US" w:eastAsia="zh-CN" w:bidi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-1 × 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superscript"/>
                <w:lang w:val="en-US" w:eastAsia="zh-CN" w:bidi="zh-CN"/>
              </w:rPr>
              <w:t>5</w:t>
            </w:r>
          </w:p>
        </w:tc>
        <w:tc>
          <w:tcPr>
            <w:tcW w:w="1035" w:type="dxa"/>
            <w:vMerge w:val="restart"/>
          </w:tcPr>
          <w:p>
            <w:pPr>
              <w:pStyle w:val="15"/>
              <w:ind w:left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  <w:p>
            <w:pPr>
              <w:pStyle w:val="15"/>
              <w:spacing w:before="11"/>
              <w:ind w:left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  <w:p>
            <w:pPr>
              <w:pStyle w:val="15"/>
              <w:ind w:left="322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50um</w:t>
            </w:r>
          </w:p>
        </w:tc>
        <w:tc>
          <w:tcPr>
            <w:tcW w:w="1458" w:type="dxa"/>
            <w:vMerge w:val="restart"/>
          </w:tcPr>
          <w:p>
            <w:pPr>
              <w:pStyle w:val="15"/>
              <w:spacing w:before="10"/>
              <w:ind w:left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  <w:p>
            <w:pPr>
              <w:pStyle w:val="15"/>
              <w:spacing w:line="374" w:lineRule="exact"/>
              <w:ind w:left="169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3-11(长时间)</w:t>
            </w:r>
          </w:p>
          <w:p>
            <w:pPr>
              <w:pStyle w:val="15"/>
              <w:spacing w:line="374" w:lineRule="exact"/>
              <w:ind w:left="146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2-13(短时间)</w:t>
            </w:r>
          </w:p>
        </w:tc>
        <w:tc>
          <w:tcPr>
            <w:tcW w:w="1066" w:type="dxa"/>
            <w:vMerge w:val="restart"/>
          </w:tcPr>
          <w:p>
            <w:pPr>
              <w:pStyle w:val="15"/>
              <w:ind w:left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  <w:p>
            <w:pPr>
              <w:pStyle w:val="15"/>
              <w:spacing w:before="11"/>
              <w:ind w:left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  <w:p>
            <w:pPr>
              <w:pStyle w:val="15"/>
              <w:ind w:left="12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0.15 MPa</w:t>
            </w:r>
          </w:p>
        </w:tc>
        <w:tc>
          <w:tcPr>
            <w:tcW w:w="1723" w:type="dxa"/>
            <w:vMerge w:val="restart"/>
          </w:tcPr>
          <w:p>
            <w:pPr>
              <w:pStyle w:val="15"/>
              <w:spacing w:before="2"/>
              <w:ind w:left="0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  <w:p>
            <w:pPr>
              <w:pStyle w:val="15"/>
              <w:spacing w:line="223" w:lineRule="auto"/>
              <w:ind w:left="128" w:right="143" w:firstLine="88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一般常用缓冲液，浓度低于0.15M 的弱酸碱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381" w:type="dxa"/>
          </w:tcPr>
          <w:p>
            <w:pPr>
              <w:pStyle w:val="15"/>
              <w:spacing w:before="66"/>
              <w:ind w:left="71" w:right="107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S-200 HR</w:t>
            </w:r>
          </w:p>
        </w:tc>
        <w:tc>
          <w:tcPr>
            <w:tcW w:w="1868" w:type="dxa"/>
          </w:tcPr>
          <w:p>
            <w:pPr>
              <w:pStyle w:val="15"/>
              <w:spacing w:before="66"/>
              <w:ind w:left="43" w:right="36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5 × 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superscript"/>
                <w:lang w:val="en-US" w:eastAsia="zh-CN" w:bidi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-2.5 × 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superscript"/>
                <w:lang w:val="en-US" w:eastAsia="zh-CN" w:bidi="zh-CN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723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81" w:type="dxa"/>
          </w:tcPr>
          <w:p>
            <w:pPr>
              <w:pStyle w:val="15"/>
              <w:spacing w:before="67"/>
              <w:ind w:left="71" w:right="107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S-300 HR</w:t>
            </w:r>
          </w:p>
        </w:tc>
        <w:tc>
          <w:tcPr>
            <w:tcW w:w="1868" w:type="dxa"/>
          </w:tcPr>
          <w:p>
            <w:pPr>
              <w:pStyle w:val="15"/>
              <w:spacing w:before="67"/>
              <w:ind w:left="43" w:right="36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1 × 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superscript"/>
                <w:lang w:val="en-US" w:eastAsia="zh-CN" w:bidi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-1.5 × 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superscript"/>
                <w:lang w:val="en-US" w:eastAsia="zh-CN" w:bidi="zh-CN"/>
              </w:rPr>
              <w:t>6</w:t>
            </w:r>
          </w:p>
        </w:tc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723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381" w:type="dxa"/>
          </w:tcPr>
          <w:p>
            <w:pPr>
              <w:pStyle w:val="15"/>
              <w:spacing w:before="67"/>
              <w:ind w:left="71" w:right="107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S-400 HR</w:t>
            </w:r>
          </w:p>
        </w:tc>
        <w:tc>
          <w:tcPr>
            <w:tcW w:w="1868" w:type="dxa"/>
          </w:tcPr>
          <w:p>
            <w:pPr>
              <w:pStyle w:val="15"/>
              <w:spacing w:before="67"/>
              <w:ind w:left="43" w:right="36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2 × 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superscript"/>
                <w:lang w:val="en-US" w:eastAsia="zh-CN" w:bidi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 xml:space="preserve">-8 ×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 w:bidi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superscript"/>
                <w:lang w:val="en-US" w:eastAsia="zh-CN" w:bidi="zh-CN"/>
              </w:rPr>
              <w:t>6</w:t>
            </w:r>
          </w:p>
        </w:tc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723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81" w:type="dxa"/>
          </w:tcPr>
          <w:p>
            <w:pPr>
              <w:pStyle w:val="15"/>
              <w:spacing w:before="75"/>
              <w:ind w:left="71" w:right="107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S-500 HR</w:t>
            </w:r>
          </w:p>
        </w:tc>
        <w:tc>
          <w:tcPr>
            <w:tcW w:w="1868" w:type="dxa"/>
          </w:tcPr>
          <w:p>
            <w:pPr>
              <w:pStyle w:val="15"/>
              <w:spacing w:before="75"/>
              <w:ind w:left="43" w:right="36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4 × 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superscript"/>
                <w:lang w:val="en-US" w:eastAsia="zh-CN" w:bidi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-2 × 10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superscript"/>
                <w:lang w:val="en-US" w:eastAsia="zh-CN" w:bidi="zh-CN"/>
              </w:rPr>
              <w:t>7</w:t>
            </w:r>
          </w:p>
        </w:tc>
        <w:tc>
          <w:tcPr>
            <w:tcW w:w="1035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458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066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723" w:type="dxa"/>
            <w:vMerge w:val="continue"/>
            <w:tcBorders>
              <w:top w:val="nil"/>
            </w:tcBorders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</w:pPr>
          </w:p>
        </w:tc>
      </w:tr>
    </w:tbl>
    <w:p>
      <w:pPr>
        <w:widowControl w:val="0"/>
        <w:numPr>
          <w:numId w:val="0"/>
        </w:numPr>
        <w:autoSpaceDE w:val="0"/>
        <w:autoSpaceDN w:val="0"/>
        <w:spacing w:before="0" w:after="0" w:line="240" w:lineRule="auto"/>
        <w:ind w:right="0" w:rightChars="0" w:firstLine="220" w:firstLineChars="100"/>
        <w:jc w:val="left"/>
      </w:pPr>
      <w:r>
        <w:rPr>
          <w:rFonts w:hint="eastAsia"/>
        </w:rPr>
        <w:t>*检测条件：层析柱16mm&amp;#215;600mm *柱床高60cm，25&amp;#8451;，流动相为0.1mol/LNaCl。</w:t>
      </w:r>
    </w:p>
    <w:p>
      <w:pPr>
        <w:pStyle w:val="2"/>
        <w:numPr>
          <w:numId w:val="0"/>
        </w:numPr>
        <w:tabs>
          <w:tab w:val="left" w:pos="1145"/>
        </w:tabs>
        <w:spacing w:before="0" w:after="0" w:line="433" w:lineRule="exact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2、贮存</w:t>
      </w:r>
    </w:p>
    <w:p>
      <w:pPr>
        <w:pStyle w:val="4"/>
        <w:spacing w:before="93" w:line="288" w:lineRule="auto"/>
        <w:ind w:right="1128"/>
        <w:rPr>
          <w:spacing w:val="8"/>
          <w:w w:val="99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产品应密封常温贮存（保存溶液为 20%乙醇）通风、干燥、清洁的地方，不能冷冻。用过的柱子贮存在 4℃（20%乙醇），保质期：2 年。</w:t>
      </w:r>
    </w:p>
    <w:p>
      <w:pPr>
        <w:pStyle w:val="2"/>
        <w:numPr>
          <w:numId w:val="0"/>
        </w:numPr>
        <w:tabs>
          <w:tab w:val="left" w:pos="1145"/>
        </w:tabs>
        <w:spacing w:before="8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3、操作步骤</w:t>
      </w:r>
    </w:p>
    <w:p>
      <w:pPr>
        <w:pStyle w:val="14"/>
        <w:numPr>
          <w:numId w:val="0"/>
        </w:numPr>
        <w:tabs>
          <w:tab w:val="left" w:pos="1329"/>
        </w:tabs>
        <w:spacing w:before="94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3.1装柱</w:t>
      </w:r>
    </w:p>
    <w:p>
      <w:pPr>
        <w:pStyle w:val="14"/>
        <w:numPr>
          <w:numId w:val="0"/>
        </w:numPr>
        <w:tabs>
          <w:tab w:val="left" w:pos="1329"/>
        </w:tabs>
        <w:spacing w:before="94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（1）让所有的材料和试剂均平衡至层析实验的温度。配制缓冲液，对所有的缓冲液进行脱气处理。</w:t>
      </w:r>
    </w:p>
    <w:p>
      <w:pPr>
        <w:pStyle w:val="14"/>
        <w:numPr>
          <w:numId w:val="0"/>
        </w:numPr>
        <w:tabs>
          <w:tab w:val="left" w:pos="1329"/>
        </w:tabs>
        <w:spacing w:before="94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（2）检查层析柱所有部件，特别是过滤网，密封圈，螺旋塞是否紧密，玻璃管是否干净和完整。</w:t>
      </w:r>
    </w:p>
    <w:p>
      <w:pPr>
        <w:pStyle w:val="14"/>
        <w:numPr>
          <w:numId w:val="0"/>
        </w:numPr>
        <w:tabs>
          <w:tab w:val="left" w:pos="1329"/>
        </w:tabs>
        <w:spacing w:before="94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（3）根据需要量取相应量的凝胶，用去离子水清洗掉 20%乙醇。</w:t>
      </w:r>
    </w:p>
    <w:p>
      <w:pPr>
        <w:pStyle w:val="14"/>
        <w:numPr>
          <w:numId w:val="0"/>
        </w:numPr>
        <w:tabs>
          <w:tab w:val="left" w:pos="1329"/>
        </w:tabs>
        <w:spacing w:before="94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（4）将柱子底端用水或缓冲液润湿并保持一小段液位，务必使底端无气泡。</w:t>
      </w:r>
    </w:p>
    <w:p>
      <w:pPr>
        <w:pStyle w:val="14"/>
        <w:numPr>
          <w:numId w:val="0"/>
        </w:numPr>
        <w:tabs>
          <w:tab w:val="left" w:pos="1329"/>
        </w:tabs>
        <w:spacing w:before="94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（5）用玻璃棒引导匀浆沿着柱内壁一次性倒入柱内，注意勿使产生气泡。打开柱子出液口，使凝胶   在柱内自由沉降，连结好柱子顶端柱头。</w:t>
      </w:r>
    </w:p>
    <w:p>
      <w:pPr>
        <w:pStyle w:val="14"/>
        <w:numPr>
          <w:numId w:val="0"/>
        </w:numPr>
        <w:tabs>
          <w:tab w:val="left" w:pos="1329"/>
        </w:tabs>
        <w:spacing w:before="94" w:after="0" w:line="240" w:lineRule="auto"/>
        <w:ind w:right="0" w:rightChars="0"/>
        <w:jc w:val="left"/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（6）打开蠕动泵，让缓冲液用使用时流速的 1.33 倍的流速流过，使柱床稳定（注意压力不要超过填料最大耐压）。</w:t>
      </w:r>
    </w:p>
    <w:p>
      <w:pPr>
        <w:pStyle w:val="2"/>
        <w:numPr>
          <w:numId w:val="0"/>
        </w:numPr>
        <w:tabs>
          <w:tab w:val="left" w:pos="1329"/>
        </w:tabs>
        <w:spacing w:before="8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2"/>
        <w:numPr>
          <w:numId w:val="0"/>
        </w:numPr>
        <w:tabs>
          <w:tab w:val="left" w:pos="1329"/>
        </w:tabs>
        <w:spacing w:before="8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2"/>
        <w:numPr>
          <w:numId w:val="0"/>
        </w:numPr>
        <w:tabs>
          <w:tab w:val="left" w:pos="1329"/>
        </w:tabs>
        <w:spacing w:before="8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3.2平衡</w:t>
      </w: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上样前平衡层析柱至少 5-10 个柱体积，直到记录仪基线变得平稳为止（流出液的 pH 值和电导值等于上柱 Buffer 的 pH 值和电导值）。</w:t>
      </w:r>
    </w:p>
    <w:p>
      <w:pPr>
        <w:pStyle w:val="2"/>
        <w:numPr>
          <w:numId w:val="0"/>
        </w:numPr>
        <w:tabs>
          <w:tab w:val="left" w:pos="1329"/>
        </w:tabs>
        <w:spacing w:before="8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3.3上样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（1） 样品用平衡液配制，样品一定要离心或过滤后上样（0.45um 滤膜），如果样品盐浓度太大，则需要处理后再上样。</w:t>
      </w:r>
    </w:p>
    <w:p>
      <w:pPr>
        <w:spacing w:beforeLines="0" w:after="75" w:afterLines="0" w:line="360" w:lineRule="auto"/>
        <w:ind w:right="225"/>
        <w:jc w:val="left"/>
        <w:rPr>
          <w:rFonts w:hint="eastAsia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（2） 推荐的上样量不超过柱体积的5%。</w:t>
      </w:r>
    </w:p>
    <w:p>
      <w:pPr>
        <w:pStyle w:val="2"/>
        <w:numPr>
          <w:numId w:val="0"/>
        </w:numPr>
        <w:tabs>
          <w:tab w:val="left" w:pos="1329"/>
        </w:tabs>
        <w:spacing w:before="86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3.4洗脱</w:t>
      </w:r>
    </w:p>
    <w:p>
      <w:pPr>
        <w:pStyle w:val="4"/>
        <w:spacing w:before="85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用缓冲液洗脱，洗脱中保持流速、缓冲液组成不变。</w:t>
      </w:r>
    </w:p>
    <w:p>
      <w:pPr>
        <w:pStyle w:val="2"/>
        <w:numPr>
          <w:numId w:val="0"/>
        </w:numPr>
        <w:tabs>
          <w:tab w:val="left" w:pos="1329"/>
        </w:tabs>
        <w:spacing w:before="86" w:after="0" w:line="240" w:lineRule="auto"/>
        <w:ind w:right="0" w:righ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3.5再生</w:t>
      </w:r>
    </w:p>
    <w:p>
      <w:pPr>
        <w:pStyle w:val="4"/>
        <w:spacing w:before="93" w:line="288" w:lineRule="auto"/>
        <w:ind w:right="1086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一般用缓冲液洗到平衡，可再次使用。在一些应用中，诸如变性蛋白质或脂质体物质在再生过程中洗脱不掉。出现下面这些情况，是必须需要清洗再生的：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（1）背压增加；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（2）色谱柱顶部的颜色变化；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（3）分辨率降低；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（4）转换接头和凝胶表面之间出现空隙。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如果观察到压力增大，在开始柱清洁程序之前先检查管路中的各个过滤阀、过滤膜是否被污染，然后通过用 0.1M NaOH 洗涤柱子，除去沉淀的蛋白质，非特异性结合的蛋白质和脂蛋白。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  <w:t>4、注意事项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（1）上样之前，样品必须经过膜过滤及去除色素，否则杂质及色素会被吸附到填料上，影响填料的   正常使用。所有的缓冲液均需要用 0.45um 的过滤器过滤。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（2）在使用过程中，避免使用高浓度的强酸强碱，酸和碱的浓度应低于 0.1 摩尔。碱会使流速变慢。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  <w:t>（3）不同的样品，吸附和洗脱方法不相同，可以根据相关的文献进行</w:t>
      </w:r>
    </w:p>
    <w:p>
      <w:pPr>
        <w:spacing w:beforeLines="0" w:after="75" w:afterLines="0" w:line="360" w:lineRule="auto"/>
        <w:ind w:right="225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spacing w:beforeLines="0" w:after="75" w:afterLines="0" w:line="360" w:lineRule="auto"/>
        <w:ind w:right="225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</w:p>
    <w:p>
      <w:pPr>
        <w:pStyle w:val="14"/>
        <w:numPr>
          <w:numId w:val="0"/>
        </w:numPr>
        <w:tabs>
          <w:tab w:val="left" w:pos="1329"/>
        </w:tabs>
        <w:spacing w:before="94" w:after="0" w:line="240" w:lineRule="auto"/>
        <w:ind w:right="0" w:rightChars="0"/>
        <w:jc w:val="left"/>
        <w:rPr>
          <w:rFonts w:hint="default" w:eastAsia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 w:bidi="zh-CN"/>
        </w:rPr>
      </w:pPr>
      <w:bookmarkStart w:id="0" w:name="_GoBack"/>
      <w:bookmarkEnd w:id="0"/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lang w:eastAsia="zh-CN"/>
      </w:rPr>
      <w:drawing>
        <wp:anchor distT="0" distB="0" distL="114300" distR="114300" simplePos="0" relativeHeight="503310336" behindDoc="1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-84455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1708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745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iChdcAAAAIAQAADwAAAAAAAAABACAA&#10;AAAiAAAAZHJzL2Rvd25yZXYueG1sUEsBAhQAFAAAAAgAh07iQAwJfCdHAgAAgwQAAA4AAAAAAAAA&#10;AQAgAAAAJgEAAGRycy9lMm9Eb2MueG1sUEsFBgAAAAAGAAYAWQEAAN8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7FD2"/>
    <w:rsid w:val="03A55FB4"/>
    <w:rsid w:val="08314152"/>
    <w:rsid w:val="08E22FF9"/>
    <w:rsid w:val="09771772"/>
    <w:rsid w:val="0A0148D7"/>
    <w:rsid w:val="0A160B13"/>
    <w:rsid w:val="0BF24DD5"/>
    <w:rsid w:val="0C9201FC"/>
    <w:rsid w:val="0CD03759"/>
    <w:rsid w:val="0E05003A"/>
    <w:rsid w:val="0EF37BC9"/>
    <w:rsid w:val="10B937BA"/>
    <w:rsid w:val="1257478E"/>
    <w:rsid w:val="133270C2"/>
    <w:rsid w:val="13747265"/>
    <w:rsid w:val="15094E42"/>
    <w:rsid w:val="17BE39E4"/>
    <w:rsid w:val="17C72D48"/>
    <w:rsid w:val="18F21F10"/>
    <w:rsid w:val="1A111D38"/>
    <w:rsid w:val="1C4A5DCF"/>
    <w:rsid w:val="1C6F5233"/>
    <w:rsid w:val="1DE47B23"/>
    <w:rsid w:val="1ECA2316"/>
    <w:rsid w:val="1ED51427"/>
    <w:rsid w:val="206B29DA"/>
    <w:rsid w:val="23FF188A"/>
    <w:rsid w:val="249C62BB"/>
    <w:rsid w:val="25931122"/>
    <w:rsid w:val="26217550"/>
    <w:rsid w:val="267B6097"/>
    <w:rsid w:val="27B0263A"/>
    <w:rsid w:val="27E1458F"/>
    <w:rsid w:val="286B3B4E"/>
    <w:rsid w:val="28FE1800"/>
    <w:rsid w:val="29126F5D"/>
    <w:rsid w:val="2A5B29F9"/>
    <w:rsid w:val="2B0A5988"/>
    <w:rsid w:val="2C500100"/>
    <w:rsid w:val="2D9468A8"/>
    <w:rsid w:val="2E4C2474"/>
    <w:rsid w:val="2E7A5006"/>
    <w:rsid w:val="2ECF3CC2"/>
    <w:rsid w:val="3098481A"/>
    <w:rsid w:val="324159A6"/>
    <w:rsid w:val="32697AD0"/>
    <w:rsid w:val="342A141B"/>
    <w:rsid w:val="37A255EB"/>
    <w:rsid w:val="383D440E"/>
    <w:rsid w:val="393E678C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5AE35C9"/>
    <w:rsid w:val="47EA0923"/>
    <w:rsid w:val="48DF7540"/>
    <w:rsid w:val="49265300"/>
    <w:rsid w:val="4B1D1D88"/>
    <w:rsid w:val="4F3E5084"/>
    <w:rsid w:val="4F6010CA"/>
    <w:rsid w:val="501C2232"/>
    <w:rsid w:val="517B11FD"/>
    <w:rsid w:val="522B07B3"/>
    <w:rsid w:val="524C4A25"/>
    <w:rsid w:val="52C40D0F"/>
    <w:rsid w:val="554137E0"/>
    <w:rsid w:val="572E2FBD"/>
    <w:rsid w:val="58E43842"/>
    <w:rsid w:val="5AC853F2"/>
    <w:rsid w:val="5B5F4D7C"/>
    <w:rsid w:val="5CC90C33"/>
    <w:rsid w:val="5D35021E"/>
    <w:rsid w:val="5DEC0ED8"/>
    <w:rsid w:val="5E00363E"/>
    <w:rsid w:val="5F0500D7"/>
    <w:rsid w:val="60340CB9"/>
    <w:rsid w:val="60B92B56"/>
    <w:rsid w:val="623678D5"/>
    <w:rsid w:val="623A6919"/>
    <w:rsid w:val="628B1E38"/>
    <w:rsid w:val="629C1EE8"/>
    <w:rsid w:val="62F767F2"/>
    <w:rsid w:val="62FB7F17"/>
    <w:rsid w:val="63705EAE"/>
    <w:rsid w:val="63FC59EE"/>
    <w:rsid w:val="665A5EB8"/>
    <w:rsid w:val="66963D6C"/>
    <w:rsid w:val="6BD40F38"/>
    <w:rsid w:val="6D6B48A6"/>
    <w:rsid w:val="6D8E5CCF"/>
    <w:rsid w:val="6EB206AF"/>
    <w:rsid w:val="6FD47DB9"/>
    <w:rsid w:val="712035B3"/>
    <w:rsid w:val="726E2937"/>
    <w:rsid w:val="75106537"/>
    <w:rsid w:val="75A16D6B"/>
    <w:rsid w:val="77A75EB5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2020-08-12T06:01:55Z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2052-11.1.0.9912</vt:lpwstr>
  </property>
</Properties>
</file>